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6B0" w:rsidRPr="00CC7EE5" w:rsidRDefault="00BA16B0" w:rsidP="00CC7EE5">
      <w:pPr>
        <w:jc w:val="center"/>
        <w:rPr>
          <w:rFonts w:ascii="Times New Roman" w:eastAsia="Times New Roman" w:hAnsi="Times New Roman" w:cs="Times New Roman"/>
          <w:b/>
          <w:bCs/>
          <w:kern w:val="36"/>
          <w:sz w:val="24"/>
          <w:szCs w:val="24"/>
          <w:lang w:val="pt-PT" w:eastAsia="sk-SK"/>
        </w:rPr>
      </w:pPr>
      <w:r w:rsidRPr="00CC7EE5">
        <w:rPr>
          <w:rFonts w:ascii="Times New Roman" w:eastAsia="Times New Roman" w:hAnsi="Times New Roman" w:cs="Times New Roman"/>
          <w:b/>
          <w:bCs/>
          <w:kern w:val="36"/>
          <w:sz w:val="24"/>
          <w:szCs w:val="24"/>
          <w:highlight w:val="yellow"/>
          <w:lang w:val="pt-PT" w:eastAsia="sk-SK"/>
        </w:rPr>
        <w:t xml:space="preserve">União Europeia – História, mapa e </w:t>
      </w:r>
      <w:proofErr w:type="gramStart"/>
      <w:r w:rsidRPr="00CC7EE5">
        <w:rPr>
          <w:rFonts w:ascii="Times New Roman" w:eastAsia="Times New Roman" w:hAnsi="Times New Roman" w:cs="Times New Roman"/>
          <w:b/>
          <w:bCs/>
          <w:kern w:val="36"/>
          <w:sz w:val="24"/>
          <w:szCs w:val="24"/>
          <w:highlight w:val="yellow"/>
          <w:lang w:val="pt-PT" w:eastAsia="sk-SK"/>
        </w:rPr>
        <w:t>países deste bloco</w:t>
      </w:r>
      <w:proofErr w:type="gramEnd"/>
      <w:r w:rsidRPr="00CC7EE5">
        <w:rPr>
          <w:rFonts w:ascii="Times New Roman" w:eastAsia="Times New Roman" w:hAnsi="Times New Roman" w:cs="Times New Roman"/>
          <w:b/>
          <w:bCs/>
          <w:kern w:val="36"/>
          <w:sz w:val="24"/>
          <w:szCs w:val="24"/>
          <w:highlight w:val="yellow"/>
          <w:lang w:val="pt-PT" w:eastAsia="sk-SK"/>
        </w:rPr>
        <w:t xml:space="preserve"> econômico</w:t>
      </w:r>
    </w:p>
    <w:p w:rsid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A União Europeia é hoje o bloco econômico de maior relevância em escala mundial. Veja sua históri</w:t>
      </w:r>
      <w:r>
        <w:rPr>
          <w:rFonts w:ascii="Times New Roman" w:eastAsia="Times New Roman" w:hAnsi="Times New Roman" w:cs="Times New Roman"/>
          <w:bCs/>
          <w:kern w:val="36"/>
          <w:sz w:val="24"/>
          <w:szCs w:val="24"/>
          <w:lang w:val="pt-PT" w:eastAsia="sk-SK"/>
        </w:rPr>
        <w:t>a, países membros, mapa e moeda</w:t>
      </w:r>
    </w:p>
    <w:p w:rsidR="008D7681" w:rsidRDefault="008D7681" w:rsidP="00BA16B0">
      <w:pPr>
        <w:rPr>
          <w:rFonts w:ascii="Times New Roman" w:eastAsia="Times New Roman" w:hAnsi="Times New Roman" w:cs="Times New Roman"/>
          <w:bCs/>
          <w:kern w:val="36"/>
          <w:sz w:val="24"/>
          <w:szCs w:val="24"/>
          <w:lang w:val="pt-PT" w:eastAsia="sk-SK"/>
        </w:rPr>
      </w:pPr>
    </w:p>
    <w:p w:rsidR="008D7681" w:rsidRDefault="008D7681" w:rsidP="00BA16B0">
      <w:pPr>
        <w:rPr>
          <w:rFonts w:ascii="Times New Roman" w:eastAsia="Times New Roman" w:hAnsi="Times New Roman" w:cs="Times New Roman"/>
          <w:bCs/>
          <w:kern w:val="36"/>
          <w:sz w:val="24"/>
          <w:szCs w:val="24"/>
          <w:lang w:val="pt-PT" w:eastAsia="sk-SK"/>
        </w:rPr>
      </w:pPr>
      <w:bookmarkStart w:id="0" w:name="_GoBack"/>
      <w:r>
        <w:rPr>
          <w:rFonts w:ascii="Times New Roman" w:eastAsia="Times New Roman" w:hAnsi="Times New Roman" w:cs="Times New Roman"/>
          <w:bCs/>
          <w:noProof/>
          <w:kern w:val="36"/>
          <w:sz w:val="24"/>
          <w:szCs w:val="24"/>
          <w:lang w:eastAsia="sk-SK"/>
        </w:rPr>
        <w:drawing>
          <wp:inline distT="0" distB="0" distL="0" distR="0">
            <wp:extent cx="5760720" cy="38252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ao-europeia-historia-mapa-e-paises-deste-bloco-economico.png"/>
                    <pic:cNvPicPr/>
                  </pic:nvPicPr>
                  <pic:blipFill>
                    <a:blip r:embed="rId5">
                      <a:extLst>
                        <a:ext uri="{28A0092B-C50C-407E-A947-70E740481C1C}">
                          <a14:useLocalDpi xmlns:a14="http://schemas.microsoft.com/office/drawing/2010/main" val="0"/>
                        </a:ext>
                      </a:extLst>
                    </a:blip>
                    <a:stretch>
                      <a:fillRect/>
                    </a:stretch>
                  </pic:blipFill>
                  <pic:spPr>
                    <a:xfrm>
                      <a:off x="0" y="0"/>
                      <a:ext cx="5760720" cy="3825240"/>
                    </a:xfrm>
                    <a:prstGeom prst="rect">
                      <a:avLst/>
                    </a:prstGeom>
                  </pic:spPr>
                </pic:pic>
              </a:graphicData>
            </a:graphic>
          </wp:inline>
        </w:drawing>
      </w:r>
      <w:bookmarkEnd w:id="0"/>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________________________________________</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 xml:space="preserve">Dentre os blocos econômicos existentes, a </w:t>
      </w:r>
      <w:r w:rsidRPr="00CC7EE5">
        <w:rPr>
          <w:rFonts w:ascii="Times New Roman" w:eastAsia="Times New Roman" w:hAnsi="Times New Roman" w:cs="Times New Roman"/>
          <w:b/>
          <w:bCs/>
          <w:kern w:val="36"/>
          <w:sz w:val="24"/>
          <w:szCs w:val="24"/>
          <w:lang w:val="pt-PT" w:eastAsia="sk-SK"/>
        </w:rPr>
        <w:t>União Europeia</w:t>
      </w:r>
      <w:r w:rsidRPr="00BA16B0">
        <w:rPr>
          <w:rFonts w:ascii="Times New Roman" w:eastAsia="Times New Roman" w:hAnsi="Times New Roman" w:cs="Times New Roman"/>
          <w:bCs/>
          <w:kern w:val="36"/>
          <w:sz w:val="24"/>
          <w:szCs w:val="24"/>
          <w:lang w:val="pt-PT" w:eastAsia="sk-SK"/>
        </w:rPr>
        <w:t xml:space="preserve"> é o mais consolidado. Ele é, basicamente, um projeto de unificação dos países europeus que surge após o contexto da </w:t>
      </w:r>
      <w:r w:rsidRPr="00CC7EE5">
        <w:rPr>
          <w:rFonts w:ascii="Times New Roman" w:eastAsia="Times New Roman" w:hAnsi="Times New Roman" w:cs="Times New Roman"/>
          <w:b/>
          <w:bCs/>
          <w:kern w:val="36"/>
          <w:sz w:val="24"/>
          <w:szCs w:val="24"/>
          <w:lang w:val="pt-PT" w:eastAsia="sk-SK"/>
        </w:rPr>
        <w:t>Segunda Guerra Mundial</w:t>
      </w:r>
      <w:r w:rsidRPr="00BA16B0">
        <w:rPr>
          <w:rFonts w:ascii="Times New Roman" w:eastAsia="Times New Roman" w:hAnsi="Times New Roman" w:cs="Times New Roman"/>
          <w:bCs/>
          <w:kern w:val="36"/>
          <w:sz w:val="24"/>
          <w:szCs w:val="24"/>
          <w:lang w:val="pt-PT" w:eastAsia="sk-SK"/>
        </w:rPr>
        <w:t>. De modo geral, a finalidade primordial dos blocos econômicos é a de estreitar os laços econômicos entre países com características ou objetivos comuns, visando principalmente a adoção de medidas protecionistas.</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 xml:space="preserve">Breve histórico da </w:t>
      </w:r>
      <w:r w:rsidRPr="00CC7EE5">
        <w:rPr>
          <w:rFonts w:ascii="Times New Roman" w:eastAsia="Times New Roman" w:hAnsi="Times New Roman" w:cs="Times New Roman"/>
          <w:b/>
          <w:bCs/>
          <w:kern w:val="36"/>
          <w:sz w:val="24"/>
          <w:szCs w:val="24"/>
          <w:lang w:val="pt-PT" w:eastAsia="sk-SK"/>
        </w:rPr>
        <w:t>União Europeia</w:t>
      </w:r>
    </w:p>
    <w:p w:rsidR="00BA16B0" w:rsidRPr="008F6A71" w:rsidRDefault="00BA16B0" w:rsidP="00BA16B0">
      <w:pPr>
        <w:rPr>
          <w:rFonts w:ascii="Times New Roman" w:eastAsia="Times New Roman" w:hAnsi="Times New Roman" w:cs="Times New Roman"/>
          <w:bCs/>
          <w:kern w:val="36"/>
          <w:sz w:val="24"/>
          <w:szCs w:val="24"/>
          <w:u w:val="single"/>
          <w:lang w:val="pt-PT" w:eastAsia="sk-SK"/>
        </w:rPr>
      </w:pPr>
      <w:r w:rsidRPr="008F6A71">
        <w:rPr>
          <w:rFonts w:ascii="Times New Roman" w:eastAsia="Times New Roman" w:hAnsi="Times New Roman" w:cs="Times New Roman"/>
          <w:bCs/>
          <w:kern w:val="36"/>
          <w:sz w:val="24"/>
          <w:szCs w:val="24"/>
          <w:u w:val="single"/>
          <w:lang w:val="pt-PT" w:eastAsia="sk-SK"/>
        </w:rPr>
        <w:t>A União Europeia é referência quando se fala em blocos econômicos, por conta de sua organização que serve como exemplo aos demais blocos emergentes. A UE constitui-se como maior bloco de integração regional contemporâneo e destaca-se não apenas pela quantidade de países que participam de sua integração, mas também pela qualidade dos acordos e pela diversidade de medidas.</w:t>
      </w:r>
    </w:p>
    <w:p w:rsidR="00BA16B0" w:rsidRPr="00CC7EE5" w:rsidRDefault="00BA16B0" w:rsidP="00BA16B0">
      <w:pPr>
        <w:rPr>
          <w:rFonts w:ascii="Times New Roman" w:eastAsia="Times New Roman" w:hAnsi="Times New Roman" w:cs="Times New Roman"/>
          <w:bCs/>
          <w:i/>
          <w:kern w:val="36"/>
          <w:sz w:val="24"/>
          <w:szCs w:val="24"/>
          <w:lang w:val="pt-PT" w:eastAsia="sk-SK"/>
        </w:rPr>
      </w:pPr>
      <w:r w:rsidRPr="00CC7EE5">
        <w:rPr>
          <w:rFonts w:ascii="Times New Roman" w:eastAsia="Times New Roman" w:hAnsi="Times New Roman" w:cs="Times New Roman"/>
          <w:bCs/>
          <w:i/>
          <w:kern w:val="36"/>
          <w:sz w:val="24"/>
          <w:szCs w:val="24"/>
          <w:lang w:val="pt-PT" w:eastAsia="sk-SK"/>
        </w:rPr>
        <w:t xml:space="preserve">Após a Segunda Guerra Mundial, vários países europeus estavam com suas economias desestruturas devido aos conflitos. Havia um desejo latente de promover uma integração entre os países, visando destituir os regimes totalitários que eram significativos naquele período. A intenção era a reestruturação europeia ao ponto de se tornarem uma grande </w:t>
      </w:r>
      <w:r w:rsidRPr="00CC7EE5">
        <w:rPr>
          <w:rFonts w:ascii="Times New Roman" w:eastAsia="Times New Roman" w:hAnsi="Times New Roman" w:cs="Times New Roman"/>
          <w:bCs/>
          <w:i/>
          <w:kern w:val="36"/>
          <w:sz w:val="24"/>
          <w:szCs w:val="24"/>
          <w:lang w:val="pt-PT" w:eastAsia="sk-SK"/>
        </w:rPr>
        <w:lastRenderedPageBreak/>
        <w:t>potência, com condições de competir com os Estados Unidos, União Soviética, China e Japão, destaques em relação ao desenvolvimento econômico.</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 xml:space="preserve">O passo inicial para criação da </w:t>
      </w:r>
      <w:r w:rsidRPr="00CC7EE5">
        <w:rPr>
          <w:rFonts w:ascii="Times New Roman" w:eastAsia="Times New Roman" w:hAnsi="Times New Roman" w:cs="Times New Roman"/>
          <w:b/>
          <w:bCs/>
          <w:kern w:val="36"/>
          <w:sz w:val="24"/>
          <w:szCs w:val="24"/>
          <w:lang w:val="pt-PT" w:eastAsia="sk-SK"/>
        </w:rPr>
        <w:t>União Europeia</w:t>
      </w:r>
      <w:r w:rsidRPr="00BA16B0">
        <w:rPr>
          <w:rFonts w:ascii="Times New Roman" w:eastAsia="Times New Roman" w:hAnsi="Times New Roman" w:cs="Times New Roman"/>
          <w:bCs/>
          <w:kern w:val="36"/>
          <w:sz w:val="24"/>
          <w:szCs w:val="24"/>
          <w:lang w:val="pt-PT" w:eastAsia="sk-SK"/>
        </w:rPr>
        <w:t xml:space="preserve"> foi dado em 1944, quando Bélgica, Holanda e Luxemburgo fundaram o “Benelux”, que era um acordo econômico entre os três países com a finalidade de facilitar o escoamento da produção de carvão e aço destes pelo Porto de </w:t>
      </w:r>
      <w:proofErr w:type="spellStart"/>
      <w:r w:rsidRPr="00BA16B0">
        <w:rPr>
          <w:rFonts w:ascii="Times New Roman" w:eastAsia="Times New Roman" w:hAnsi="Times New Roman" w:cs="Times New Roman"/>
          <w:bCs/>
          <w:kern w:val="36"/>
          <w:sz w:val="24"/>
          <w:szCs w:val="24"/>
          <w:lang w:val="pt-PT" w:eastAsia="sk-SK"/>
        </w:rPr>
        <w:t>Roterdã</w:t>
      </w:r>
      <w:proofErr w:type="spellEnd"/>
      <w:r w:rsidRPr="00BA16B0">
        <w:rPr>
          <w:rFonts w:ascii="Times New Roman" w:eastAsia="Times New Roman" w:hAnsi="Times New Roman" w:cs="Times New Roman"/>
          <w:bCs/>
          <w:kern w:val="36"/>
          <w:sz w:val="24"/>
          <w:szCs w:val="24"/>
          <w:lang w:val="pt-PT" w:eastAsia="sk-SK"/>
        </w:rPr>
        <w:t xml:space="preserve">, na Holanda. Seguindo no mesmo sentido, no ano de 1951 é fundada a </w:t>
      </w:r>
      <w:r w:rsidRPr="00CC7EE5">
        <w:rPr>
          <w:rFonts w:ascii="Times New Roman" w:eastAsia="Times New Roman" w:hAnsi="Times New Roman" w:cs="Times New Roman"/>
          <w:b/>
          <w:bCs/>
          <w:kern w:val="36"/>
          <w:sz w:val="24"/>
          <w:szCs w:val="24"/>
          <w:lang w:val="pt-PT" w:eastAsia="sk-SK"/>
        </w:rPr>
        <w:t>Comunidade Europeia do Carvão e do Aço (CECA)</w:t>
      </w:r>
      <w:r w:rsidRPr="00BA16B0">
        <w:rPr>
          <w:rFonts w:ascii="Times New Roman" w:eastAsia="Times New Roman" w:hAnsi="Times New Roman" w:cs="Times New Roman"/>
          <w:bCs/>
          <w:kern w:val="36"/>
          <w:sz w:val="24"/>
          <w:szCs w:val="24"/>
          <w:lang w:val="pt-PT" w:eastAsia="sk-SK"/>
        </w:rPr>
        <w:t xml:space="preserve">, com objetivo de unificar a produção entre países interessados de aço. Após isso, houve também a fundação da </w:t>
      </w:r>
      <w:r w:rsidRPr="00CC7EE5">
        <w:rPr>
          <w:rFonts w:ascii="Times New Roman" w:eastAsia="Times New Roman" w:hAnsi="Times New Roman" w:cs="Times New Roman"/>
          <w:b/>
          <w:bCs/>
          <w:kern w:val="36"/>
          <w:sz w:val="24"/>
          <w:szCs w:val="24"/>
          <w:lang w:val="pt-PT" w:eastAsia="sk-SK"/>
        </w:rPr>
        <w:t>Comunidade Europeia de Energia Atômica (</w:t>
      </w:r>
      <w:proofErr w:type="spellStart"/>
      <w:r w:rsidRPr="00CC7EE5">
        <w:rPr>
          <w:rFonts w:ascii="Times New Roman" w:eastAsia="Times New Roman" w:hAnsi="Times New Roman" w:cs="Times New Roman"/>
          <w:b/>
          <w:bCs/>
          <w:kern w:val="36"/>
          <w:sz w:val="24"/>
          <w:szCs w:val="24"/>
          <w:lang w:val="pt-PT" w:eastAsia="sk-SK"/>
        </w:rPr>
        <w:t>Euratom</w:t>
      </w:r>
      <w:proofErr w:type="spellEnd"/>
      <w:r w:rsidRPr="00CC7EE5">
        <w:rPr>
          <w:rFonts w:ascii="Times New Roman" w:eastAsia="Times New Roman" w:hAnsi="Times New Roman" w:cs="Times New Roman"/>
          <w:b/>
          <w:bCs/>
          <w:kern w:val="36"/>
          <w:sz w:val="24"/>
          <w:szCs w:val="24"/>
          <w:lang w:val="pt-PT" w:eastAsia="sk-SK"/>
        </w:rPr>
        <w:t>)</w:t>
      </w:r>
      <w:r w:rsidRPr="00BA16B0">
        <w:rPr>
          <w:rFonts w:ascii="Times New Roman" w:eastAsia="Times New Roman" w:hAnsi="Times New Roman" w:cs="Times New Roman"/>
          <w:bCs/>
          <w:kern w:val="36"/>
          <w:sz w:val="24"/>
          <w:szCs w:val="24"/>
          <w:lang w:val="pt-PT" w:eastAsia="sk-SK"/>
        </w:rPr>
        <w:t xml:space="preserve">, bem como a </w:t>
      </w:r>
      <w:r w:rsidRPr="00CC7EE5">
        <w:rPr>
          <w:rFonts w:ascii="Times New Roman" w:eastAsia="Times New Roman" w:hAnsi="Times New Roman" w:cs="Times New Roman"/>
          <w:b/>
          <w:bCs/>
          <w:kern w:val="36"/>
          <w:sz w:val="24"/>
          <w:szCs w:val="24"/>
          <w:lang w:val="pt-PT" w:eastAsia="sk-SK"/>
        </w:rPr>
        <w:t>Comunidade Econômica Europeia</w:t>
      </w:r>
      <w:r w:rsidRPr="00BA16B0">
        <w:rPr>
          <w:rFonts w:ascii="Times New Roman" w:eastAsia="Times New Roman" w:hAnsi="Times New Roman" w:cs="Times New Roman"/>
          <w:bCs/>
          <w:kern w:val="36"/>
          <w:sz w:val="24"/>
          <w:szCs w:val="24"/>
          <w:lang w:val="pt-PT" w:eastAsia="sk-SK"/>
        </w:rPr>
        <w:t xml:space="preserve">, em 1957, a partir do </w:t>
      </w:r>
      <w:r w:rsidRPr="00CC7EE5">
        <w:rPr>
          <w:rFonts w:ascii="Times New Roman" w:eastAsia="Times New Roman" w:hAnsi="Times New Roman" w:cs="Times New Roman"/>
          <w:b/>
          <w:bCs/>
          <w:kern w:val="36"/>
          <w:sz w:val="24"/>
          <w:szCs w:val="24"/>
          <w:lang w:val="pt-PT" w:eastAsia="sk-SK"/>
        </w:rPr>
        <w:t>Tratado de Roma</w:t>
      </w:r>
      <w:r w:rsidRPr="00BA16B0">
        <w:rPr>
          <w:rFonts w:ascii="Times New Roman" w:eastAsia="Times New Roman" w:hAnsi="Times New Roman" w:cs="Times New Roman"/>
          <w:bCs/>
          <w:kern w:val="36"/>
          <w:sz w:val="24"/>
          <w:szCs w:val="24"/>
          <w:lang w:val="pt-PT" w:eastAsia="sk-SK"/>
        </w:rPr>
        <w:t>.</w:t>
      </w:r>
    </w:p>
    <w:p w:rsidR="00BA16B0" w:rsidRPr="008F6A71" w:rsidRDefault="00BA16B0" w:rsidP="00BA16B0">
      <w:pPr>
        <w:rPr>
          <w:rFonts w:ascii="Times New Roman" w:eastAsia="Times New Roman" w:hAnsi="Times New Roman" w:cs="Times New Roman"/>
          <w:bCs/>
          <w:color w:val="FF0000"/>
          <w:kern w:val="36"/>
          <w:sz w:val="24"/>
          <w:szCs w:val="24"/>
          <w:lang w:val="pt-PT" w:eastAsia="sk-SK"/>
        </w:rPr>
      </w:pPr>
      <w:r w:rsidRPr="008F6A71">
        <w:rPr>
          <w:rFonts w:ascii="Times New Roman" w:eastAsia="Times New Roman" w:hAnsi="Times New Roman" w:cs="Times New Roman"/>
          <w:bCs/>
          <w:color w:val="FF0000"/>
          <w:kern w:val="36"/>
          <w:sz w:val="24"/>
          <w:szCs w:val="24"/>
          <w:lang w:val="pt-PT" w:eastAsia="sk-SK"/>
        </w:rPr>
        <w:t>Assim, várias tentativas de integração regional já vinham acontecendo desde a Segunda Guerra Mundial, e em 1993, a partir de uma série de debates de reuniões com líderes de vários países, foi assinado o Tratado da União, ou Tratado de Maastricht, o qual foi a base para constituição da União Europeia (UE). Naquele contexto, a União Europeia era formada por três instituições centrais, o Parlamento Europeu, o Conselho da União Europeia e a Comissão Europeia, cada qual com funções bem definidas no âmbito do bloco. Na época, faziam parte do bloco apenas 12 países, sendo eles: Alemanha, Bélgica, Dinamarca, França, Grécia, Irlanda, Itália, Luxemburgo, Países Baixos, Portugal, Espanha e ainda o Reino Unido.</w:t>
      </w:r>
    </w:p>
    <w:p w:rsidR="00BA16B0" w:rsidRPr="00BA16B0" w:rsidRDefault="00BA16B0" w:rsidP="00BA16B0">
      <w:pPr>
        <w:rPr>
          <w:rFonts w:ascii="Times New Roman" w:eastAsia="Times New Roman" w:hAnsi="Times New Roman" w:cs="Times New Roman"/>
          <w:bCs/>
          <w:kern w:val="36"/>
          <w:sz w:val="24"/>
          <w:szCs w:val="24"/>
          <w:lang w:val="pt-PT" w:eastAsia="sk-SK"/>
        </w:rPr>
      </w:pPr>
      <w:r w:rsidRPr="00BA16B0">
        <w:rPr>
          <w:rFonts w:ascii="Times New Roman" w:eastAsia="Times New Roman" w:hAnsi="Times New Roman" w:cs="Times New Roman"/>
          <w:bCs/>
          <w:kern w:val="36"/>
          <w:sz w:val="24"/>
          <w:szCs w:val="24"/>
          <w:lang w:val="pt-PT" w:eastAsia="sk-SK"/>
        </w:rPr>
        <w:t>Finalidades da União Europeia e países que integram o bloco</w:t>
      </w:r>
    </w:p>
    <w:p w:rsidR="005F5A44" w:rsidRPr="00BA16B0" w:rsidRDefault="00BA16B0" w:rsidP="008F6A71">
      <w:pPr>
        <w:rPr>
          <w:sz w:val="24"/>
          <w:szCs w:val="24"/>
        </w:rPr>
      </w:pPr>
      <w:r w:rsidRPr="00CC7EE5">
        <w:rPr>
          <w:rFonts w:ascii="Times New Roman" w:eastAsia="Times New Roman" w:hAnsi="Times New Roman" w:cs="Times New Roman"/>
          <w:bCs/>
          <w:i/>
          <w:kern w:val="36"/>
          <w:sz w:val="24"/>
          <w:szCs w:val="24"/>
          <w:lang w:val="pt-PT" w:eastAsia="sk-SK"/>
        </w:rPr>
        <w:t>Atualmente são membros da União Europeia: Alemanha, Hungria, Áustria, Irlanda, Bélgica, Itália, Bulgária, Letônia, Chipre, Lituânia, Croácia, Luxemburgo, Dinamarca, Malta, Eslováquia, Países Baixos, Eslovênia, Polônia, Espanha, Portugal, Estónia, Reino Unido, Finlândia, República Checa, França, Romênia, Grécia e Suécia.</w:t>
      </w:r>
    </w:p>
    <w:sectPr w:rsidR="005F5A44" w:rsidRPr="00BA16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BA16B0"/>
    <w:rsid w:val="005F5A44"/>
    <w:rsid w:val="008D7681"/>
    <w:rsid w:val="008F6A71"/>
    <w:rsid w:val="00BA16B0"/>
    <w:rsid w:val="00CC7EE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16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Heading2">
    <w:name w:val="heading 2"/>
    <w:basedOn w:val="Normal"/>
    <w:link w:val="Heading2Char"/>
    <w:uiPriority w:val="9"/>
    <w:qFormat/>
    <w:rsid w:val="00BA16B0"/>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6B0"/>
    <w:rPr>
      <w:rFonts w:ascii="Times New Roman" w:eastAsia="Times New Roman" w:hAnsi="Times New Roman" w:cs="Times New Roman"/>
      <w:b/>
      <w:bCs/>
      <w:kern w:val="36"/>
      <w:sz w:val="48"/>
      <w:szCs w:val="48"/>
      <w:lang w:eastAsia="sk-SK"/>
    </w:rPr>
  </w:style>
  <w:style w:type="character" w:customStyle="1" w:styleId="Heading2Char">
    <w:name w:val="Heading 2 Char"/>
    <w:basedOn w:val="DefaultParagraphFont"/>
    <w:link w:val="Heading2"/>
    <w:uiPriority w:val="9"/>
    <w:rsid w:val="00BA16B0"/>
    <w:rPr>
      <w:rFonts w:ascii="Times New Roman" w:eastAsia="Times New Roman" w:hAnsi="Times New Roman" w:cs="Times New Roman"/>
      <w:b/>
      <w:bCs/>
      <w:sz w:val="36"/>
      <w:szCs w:val="36"/>
      <w:lang w:eastAsia="sk-SK"/>
    </w:rPr>
  </w:style>
  <w:style w:type="character" w:styleId="Hyperlink">
    <w:name w:val="Hyperlink"/>
    <w:basedOn w:val="DefaultParagraphFont"/>
    <w:uiPriority w:val="99"/>
    <w:semiHidden/>
    <w:unhideWhenUsed/>
    <w:rsid w:val="00BA16B0"/>
    <w:rPr>
      <w:color w:val="0000FF"/>
      <w:u w:val="single"/>
    </w:rPr>
  </w:style>
  <w:style w:type="character" w:styleId="Strong">
    <w:name w:val="Strong"/>
    <w:basedOn w:val="DefaultParagraphFont"/>
    <w:uiPriority w:val="22"/>
    <w:qFormat/>
    <w:rsid w:val="00BA16B0"/>
    <w:rPr>
      <w:b/>
      <w:bCs/>
    </w:rPr>
  </w:style>
  <w:style w:type="paragraph" w:styleId="NormalWeb">
    <w:name w:val="Normal (Web)"/>
    <w:basedOn w:val="Normal"/>
    <w:uiPriority w:val="99"/>
    <w:semiHidden/>
    <w:unhideWhenUsed/>
    <w:rsid w:val="00BA16B0"/>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wp-caption-text">
    <w:name w:val="wp-caption-text"/>
    <w:basedOn w:val="Normal"/>
    <w:rsid w:val="00BA16B0"/>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Emphasis">
    <w:name w:val="Emphasis"/>
    <w:basedOn w:val="DefaultParagraphFont"/>
    <w:uiPriority w:val="20"/>
    <w:qFormat/>
    <w:rsid w:val="00BA16B0"/>
    <w:rPr>
      <w:i/>
      <w:iCs/>
    </w:rPr>
  </w:style>
  <w:style w:type="paragraph" w:styleId="BalloonText">
    <w:name w:val="Balloon Text"/>
    <w:basedOn w:val="Normal"/>
    <w:link w:val="BalloonTextChar"/>
    <w:uiPriority w:val="99"/>
    <w:semiHidden/>
    <w:unhideWhenUsed/>
    <w:rsid w:val="00BA1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6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16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Heading2">
    <w:name w:val="heading 2"/>
    <w:basedOn w:val="Normal"/>
    <w:link w:val="Heading2Char"/>
    <w:uiPriority w:val="9"/>
    <w:qFormat/>
    <w:rsid w:val="00BA16B0"/>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6B0"/>
    <w:rPr>
      <w:rFonts w:ascii="Times New Roman" w:eastAsia="Times New Roman" w:hAnsi="Times New Roman" w:cs="Times New Roman"/>
      <w:b/>
      <w:bCs/>
      <w:kern w:val="36"/>
      <w:sz w:val="48"/>
      <w:szCs w:val="48"/>
      <w:lang w:eastAsia="sk-SK"/>
    </w:rPr>
  </w:style>
  <w:style w:type="character" w:customStyle="1" w:styleId="Heading2Char">
    <w:name w:val="Heading 2 Char"/>
    <w:basedOn w:val="DefaultParagraphFont"/>
    <w:link w:val="Heading2"/>
    <w:uiPriority w:val="9"/>
    <w:rsid w:val="00BA16B0"/>
    <w:rPr>
      <w:rFonts w:ascii="Times New Roman" w:eastAsia="Times New Roman" w:hAnsi="Times New Roman" w:cs="Times New Roman"/>
      <w:b/>
      <w:bCs/>
      <w:sz w:val="36"/>
      <w:szCs w:val="36"/>
      <w:lang w:eastAsia="sk-SK"/>
    </w:rPr>
  </w:style>
  <w:style w:type="character" w:styleId="Hyperlink">
    <w:name w:val="Hyperlink"/>
    <w:basedOn w:val="DefaultParagraphFont"/>
    <w:uiPriority w:val="99"/>
    <w:semiHidden/>
    <w:unhideWhenUsed/>
    <w:rsid w:val="00BA16B0"/>
    <w:rPr>
      <w:color w:val="0000FF"/>
      <w:u w:val="single"/>
    </w:rPr>
  </w:style>
  <w:style w:type="character" w:styleId="Strong">
    <w:name w:val="Strong"/>
    <w:basedOn w:val="DefaultParagraphFont"/>
    <w:uiPriority w:val="22"/>
    <w:qFormat/>
    <w:rsid w:val="00BA16B0"/>
    <w:rPr>
      <w:b/>
      <w:bCs/>
    </w:rPr>
  </w:style>
  <w:style w:type="paragraph" w:styleId="NormalWeb">
    <w:name w:val="Normal (Web)"/>
    <w:basedOn w:val="Normal"/>
    <w:uiPriority w:val="99"/>
    <w:semiHidden/>
    <w:unhideWhenUsed/>
    <w:rsid w:val="00BA16B0"/>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wp-caption-text">
    <w:name w:val="wp-caption-text"/>
    <w:basedOn w:val="Normal"/>
    <w:rsid w:val="00BA16B0"/>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Emphasis">
    <w:name w:val="Emphasis"/>
    <w:basedOn w:val="DefaultParagraphFont"/>
    <w:uiPriority w:val="20"/>
    <w:qFormat/>
    <w:rsid w:val="00BA16B0"/>
    <w:rPr>
      <w:i/>
      <w:iCs/>
    </w:rPr>
  </w:style>
  <w:style w:type="paragraph" w:styleId="BalloonText">
    <w:name w:val="Balloon Text"/>
    <w:basedOn w:val="Normal"/>
    <w:link w:val="BalloonTextChar"/>
    <w:uiPriority w:val="99"/>
    <w:semiHidden/>
    <w:unhideWhenUsed/>
    <w:rsid w:val="00BA1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6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616868">
      <w:bodyDiv w:val="1"/>
      <w:marLeft w:val="0"/>
      <w:marRight w:val="0"/>
      <w:marTop w:val="0"/>
      <w:marBottom w:val="0"/>
      <w:divBdr>
        <w:top w:val="none" w:sz="0" w:space="0" w:color="auto"/>
        <w:left w:val="none" w:sz="0" w:space="0" w:color="auto"/>
        <w:bottom w:val="none" w:sz="0" w:space="0" w:color="auto"/>
        <w:right w:val="none" w:sz="0" w:space="0" w:color="auto"/>
      </w:divBdr>
      <w:divsChild>
        <w:div w:id="1723674125">
          <w:marLeft w:val="0"/>
          <w:marRight w:val="0"/>
          <w:marTop w:val="0"/>
          <w:marBottom w:val="0"/>
          <w:divBdr>
            <w:top w:val="none" w:sz="0" w:space="0" w:color="auto"/>
            <w:left w:val="none" w:sz="0" w:space="0" w:color="auto"/>
            <w:bottom w:val="none" w:sz="0" w:space="0" w:color="auto"/>
            <w:right w:val="none" w:sz="0" w:space="0" w:color="auto"/>
          </w:divBdr>
          <w:divsChild>
            <w:div w:id="1759709731">
              <w:marLeft w:val="0"/>
              <w:marRight w:val="0"/>
              <w:marTop w:val="0"/>
              <w:marBottom w:val="0"/>
              <w:divBdr>
                <w:top w:val="none" w:sz="0" w:space="0" w:color="auto"/>
                <w:left w:val="none" w:sz="0" w:space="0" w:color="auto"/>
                <w:bottom w:val="none" w:sz="0" w:space="0" w:color="auto"/>
                <w:right w:val="none" w:sz="0" w:space="0" w:color="auto"/>
              </w:divBdr>
              <w:divsChild>
                <w:div w:id="1350570612">
                  <w:marLeft w:val="0"/>
                  <w:marRight w:val="0"/>
                  <w:marTop w:val="0"/>
                  <w:marBottom w:val="0"/>
                  <w:divBdr>
                    <w:top w:val="none" w:sz="0" w:space="0" w:color="auto"/>
                    <w:left w:val="none" w:sz="0" w:space="0" w:color="auto"/>
                    <w:bottom w:val="none" w:sz="0" w:space="0" w:color="auto"/>
                    <w:right w:val="none" w:sz="0" w:space="0" w:color="auto"/>
                  </w:divBdr>
                  <w:divsChild>
                    <w:div w:id="912933941">
                      <w:marLeft w:val="0"/>
                      <w:marRight w:val="0"/>
                      <w:marTop w:val="0"/>
                      <w:marBottom w:val="0"/>
                      <w:divBdr>
                        <w:top w:val="none" w:sz="0" w:space="0" w:color="auto"/>
                        <w:left w:val="none" w:sz="0" w:space="0" w:color="auto"/>
                        <w:bottom w:val="none" w:sz="0" w:space="0" w:color="auto"/>
                        <w:right w:val="none" w:sz="0" w:space="0" w:color="auto"/>
                      </w:divBdr>
                    </w:div>
                    <w:div w:id="895973230">
                      <w:marLeft w:val="0"/>
                      <w:marRight w:val="0"/>
                      <w:marTop w:val="0"/>
                      <w:marBottom w:val="0"/>
                      <w:divBdr>
                        <w:top w:val="none" w:sz="0" w:space="0" w:color="auto"/>
                        <w:left w:val="none" w:sz="0" w:space="0" w:color="auto"/>
                        <w:bottom w:val="none" w:sz="0" w:space="0" w:color="auto"/>
                        <w:right w:val="none" w:sz="0" w:space="0" w:color="auto"/>
                      </w:divBdr>
                    </w:div>
                    <w:div w:id="1545097713">
                      <w:marLeft w:val="0"/>
                      <w:marRight w:val="0"/>
                      <w:marTop w:val="0"/>
                      <w:marBottom w:val="0"/>
                      <w:divBdr>
                        <w:top w:val="none" w:sz="0" w:space="0" w:color="auto"/>
                        <w:left w:val="none" w:sz="0" w:space="0" w:color="auto"/>
                        <w:bottom w:val="none" w:sz="0" w:space="0" w:color="auto"/>
                        <w:right w:val="none" w:sz="0" w:space="0" w:color="auto"/>
                      </w:divBdr>
                    </w:div>
                    <w:div w:id="219095128">
                      <w:marLeft w:val="0"/>
                      <w:marRight w:val="0"/>
                      <w:marTop w:val="0"/>
                      <w:marBottom w:val="0"/>
                      <w:divBdr>
                        <w:top w:val="none" w:sz="0" w:space="0" w:color="auto"/>
                        <w:left w:val="none" w:sz="0" w:space="0" w:color="auto"/>
                        <w:bottom w:val="none" w:sz="0" w:space="0" w:color="auto"/>
                        <w:right w:val="none" w:sz="0" w:space="0" w:color="auto"/>
                      </w:divBdr>
                      <w:divsChild>
                        <w:div w:id="680206272">
                          <w:marLeft w:val="0"/>
                          <w:marRight w:val="0"/>
                          <w:marTop w:val="0"/>
                          <w:marBottom w:val="0"/>
                          <w:divBdr>
                            <w:top w:val="none" w:sz="0" w:space="0" w:color="auto"/>
                            <w:left w:val="none" w:sz="0" w:space="0" w:color="auto"/>
                            <w:bottom w:val="none" w:sz="0" w:space="0" w:color="auto"/>
                            <w:right w:val="none" w:sz="0" w:space="0" w:color="auto"/>
                          </w:divBdr>
                        </w:div>
                        <w:div w:id="48944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UHRIKOVA Dominika (DGT)</dc:creator>
  <cp:lastModifiedBy>UHRIKOVA Dominika (DGT)</cp:lastModifiedBy>
  <cp:revision>2</cp:revision>
  <dcterms:created xsi:type="dcterms:W3CDTF">2017-06-06T13:02:00Z</dcterms:created>
  <dcterms:modified xsi:type="dcterms:W3CDTF">2017-06-08T13:20:00Z</dcterms:modified>
</cp:coreProperties>
</file>